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A16" w:rsidRPr="008906D3" w:rsidRDefault="002F0A16" w:rsidP="002F0A16">
      <w:pPr>
        <w:spacing w:after="0" w:line="240" w:lineRule="auto"/>
        <w:jc w:val="center"/>
        <w:rPr>
          <w:rFonts w:ascii="Tahoma" w:eastAsia="Times New Roman" w:hAnsi="Tahoma" w:cs="Tahoma"/>
          <w:b/>
          <w:bCs/>
          <w:color w:val="000000"/>
          <w:sz w:val="16"/>
          <w:szCs w:val="16"/>
          <w:lang w:eastAsia="es-ES"/>
        </w:rPr>
      </w:pPr>
    </w:p>
    <w:p w:rsidR="002F0A16" w:rsidRPr="00D16D67" w:rsidRDefault="002F0A16" w:rsidP="002F0A16">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Pr="00D16D6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695,</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D16D6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Sábado 20 de Febrero de 2016</w:t>
      </w:r>
    </w:p>
    <w:p w:rsidR="002F0A16" w:rsidRPr="008906D3" w:rsidRDefault="002F0A16" w:rsidP="002F0A16">
      <w:pPr>
        <w:shd w:val="clear" w:color="auto" w:fill="FFFFFF"/>
        <w:spacing w:after="0" w:line="240" w:lineRule="auto"/>
        <w:jc w:val="center"/>
        <w:rPr>
          <w:rFonts w:ascii="Tahoma" w:eastAsia="Times New Roman" w:hAnsi="Tahoma" w:cs="Tahoma"/>
          <w:b/>
          <w:bCs/>
          <w:color w:val="000000"/>
          <w:sz w:val="14"/>
          <w:szCs w:val="14"/>
          <w:lang w:eastAsia="es-ES"/>
        </w:rPr>
      </w:pPr>
    </w:p>
    <w:p w:rsidR="002F0A16" w:rsidRPr="00D16D67" w:rsidRDefault="002F0A16" w:rsidP="002F0A16">
      <w:pPr>
        <w:pStyle w:val="Prrafodelista"/>
        <w:numPr>
          <w:ilvl w:val="0"/>
          <w:numId w:val="2"/>
        </w:numPr>
        <w:shd w:val="clear" w:color="auto" w:fill="FFFFFF"/>
        <w:spacing w:after="0" w:line="240" w:lineRule="auto"/>
        <w:jc w:val="both"/>
        <w:rPr>
          <w:rFonts w:ascii="Tahoma" w:hAnsi="Tahoma" w:cs="Tahoma"/>
          <w:sz w:val="18"/>
          <w:szCs w:val="18"/>
        </w:rPr>
      </w:pPr>
      <w:r>
        <w:rPr>
          <w:rFonts w:ascii="Tahoma" w:hAnsi="Tahoma" w:cs="Tahoma"/>
          <w:b/>
          <w:color w:val="0070C0"/>
          <w:sz w:val="18"/>
          <w:szCs w:val="18"/>
        </w:rPr>
        <w:t xml:space="preserve">Circular </w:t>
      </w:r>
      <w:hyperlink r:id="rId6" w:history="1">
        <w:r w:rsidRPr="00D16D67">
          <w:rPr>
            <w:rFonts w:ascii="Tahoma" w:hAnsi="Tahoma" w:cs="Tahoma"/>
            <w:b/>
            <w:color w:val="0070C0"/>
            <w:sz w:val="18"/>
            <w:szCs w:val="18"/>
          </w:rPr>
          <w:t>NAC-DGECCGC16-00000003</w:t>
        </w:r>
      </w:hyperlink>
      <w:r w:rsidRPr="00D16D67">
        <w:rPr>
          <w:rFonts w:ascii="Tahoma" w:hAnsi="Tahoma" w:cs="Tahoma"/>
          <w:b/>
          <w:color w:val="0070C0"/>
          <w:sz w:val="18"/>
          <w:szCs w:val="18"/>
        </w:rPr>
        <w:t xml:space="preserve">: </w:t>
      </w:r>
      <w:r w:rsidRPr="00D16D67">
        <w:rPr>
          <w:rFonts w:ascii="Tahoma" w:hAnsi="Tahoma" w:cs="Tahoma"/>
          <w:sz w:val="18"/>
          <w:szCs w:val="18"/>
        </w:rPr>
        <w:t>A los proveedores de bienes que se exporten.</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bookmarkStart w:id="0" w:name="_GoBack"/>
      <w:bookmarkEnd w:id="0"/>
      <w:r w:rsidRPr="008906D3">
        <w:rPr>
          <w:rFonts w:ascii="Tahoma" w:eastAsia="Times New Roman" w:hAnsi="Tahoma" w:cs="Tahoma"/>
          <w:color w:val="000000"/>
          <w:sz w:val="14"/>
          <w:szCs w:val="14"/>
          <w:shd w:val="clear" w:color="auto" w:fill="FFFFFF"/>
          <w:lang w:eastAsia="es-ES"/>
        </w:rPr>
        <w:t>De conformidad con el número 8 del artículo 11 de la Constitución de la República del Ecuador, el contenido de los derechos se desarrollará de manera progresiva a través de las normas, la jurisprudencia y las políticas públicas. El Estado generará y garantizará las condiciones necesarias para su pleno reconocimiento y ejercicio.</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Por su parte el artículo 283 de la Constitución establece que el sistema económico tiene por objetivo garantizar la producción y reproducción de las condiciones materiales e inmateriales que posibiliten el buen vivir, en concordancia con el número 2 del artículo 284 de la Carta Magna ecuatoriana que señala como objetivo de la política económica incentivar la producción nacional, la productividad y competitividad sistémicas, la acumulación del conocimiento científico y tecnológico, la inserción estratégica en la economía mundial y las actividades productivas complementarias en la integración regional.</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Por su parte el inciso segundo del artículo 300 de la referida Constitución indica que la política tributaria promoverá la redistribución, estimulará el empleo y la producción de bienes y servicios, en concordancia con el artículo 4 del Código Tributario que dispone que los tributos, además de ser medios para recaudar ingresos públicos, servirán como instrumento de política económica general, estimulando la inversión, la reinversión, el ahorro y su destino hacia los fines productivos y de desarrollo nacional; atenderán a las exigencias de estabilidad y progreso sociales y procurarán una mejor distribución de la renta nacional.</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 xml:space="preserve">El artículo 7 del Código Tributario, en concordancia con el artículo 8 de la Ley de Creación del Servicio de Rentas Internas, dispone que </w:t>
      </w:r>
      <w:proofErr w:type="gramStart"/>
      <w:r w:rsidRPr="008906D3">
        <w:rPr>
          <w:rFonts w:ascii="Tahoma" w:eastAsia="Times New Roman" w:hAnsi="Tahoma" w:cs="Tahoma"/>
          <w:color w:val="000000"/>
          <w:sz w:val="14"/>
          <w:szCs w:val="14"/>
          <w:shd w:val="clear" w:color="auto" w:fill="FFFFFF"/>
          <w:lang w:eastAsia="es-ES"/>
        </w:rPr>
        <w:t>es</w:t>
      </w:r>
      <w:proofErr w:type="gramEnd"/>
      <w:r w:rsidRPr="008906D3">
        <w:rPr>
          <w:rFonts w:ascii="Tahoma" w:eastAsia="Times New Roman" w:hAnsi="Tahoma" w:cs="Tahoma"/>
          <w:color w:val="000000"/>
          <w:sz w:val="14"/>
          <w:szCs w:val="14"/>
          <w:shd w:val="clear" w:color="auto" w:fill="FFFFFF"/>
          <w:lang w:eastAsia="es-ES"/>
        </w:rPr>
        <w:t xml:space="preserve"> facultad de la Directora o el Director General del Servicio de Rentas Internas expedir las resoluciones, circulares o disposiciones de carácter general y obligatorio necesarias para la aplicación de las normas legales y reglamentarias.</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primer inciso del artículo 57 de la Ley de Régimen Tributario Interno señala que las personas naturales y sociedades exportadoras que hayan pagado y retenido el IVA en la adquisición de bienes que exporten tienen derecho a crédito tributario por dichos pagos. Igual derecho tendrán por el impuesto pagado en la adquisición de materias primas, insumos y servicios utilizados en los productos elaborados y exportados por el fabricante.</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segundo inciso del mismo artículo indica que este derecho puede trasladarse únicamente a los proveedores directos de los exportadores.</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tercer inciso de dicha norma legal establece que también tienen derecho al crédito tributario los fabricantes, por el IVA pagado en la adquisición local de materias primas, insumos y servicios destinados a la producción de bienes para la exportación, que se agregan a las materias primas internadas en el país bajo regímenes aduaneros especiales, aunque dichos contribuyentes no exporten directamente el producto terminado, siempre que estos bienes sean adquiridos efectivamente por los exportadores y la transferencia al exportador de los bienes producidos por estos contribuyentes que no hayan sido objeto de nacionalización, están gravados con tarifa cero.</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primer inciso del artículo 72 de la misma ley indica que las personas naturales y las sociedades que hubiesen pagado el impuesto al valor agregado en las adquisiciones locales o importaciones de bienes que se exporten, así como aquellos bienes, materias primas, insumos, servicios y activos fijos empleados en la fabricación y comercialización de bienes que se exporten, tienen derecho a que ese impuesto les sea reintegrado, sin intereses, en un tiempo no mayor a noventa (90) días, a través de la emisión de la respectiva nota de crédito, cheque u otro medio de pago. Se reconocerán intereses si vencido el término antes indicado no se hubiese reembolsado el IVA reclamado.</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artículo 173 del Reglamento para la aplicación de la Ley de Régimen Tributario Interno señala que los proveedores directos de exportadores de bienes podrán solicitar la devolución del Impuesto al Valor Agregado pagado en la importación o adquisición local de bienes, materias primas, insumos, servicios y activos fijos, empleados en la fabricación y comercialización de bienes que se transfieran al exportador para la exportación, cuando las transferencias que efectúen al exportador estén gravadas con tarifa cero por ciento de IVA, de acuerdo a lo establecido en la Ley de Régimen Tributario Interno. Para efectos de la devolución, se verificará que el Impuesto al Valor Agregado solicitado no haya sido utilizado como crédito tributario o no haya sido reembolsado de cualquier forma.</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Las normas antes referidas permiten que en la exportación de productos adquiridos mediante transferencias locales gravadas con tarifa cero por ciento de IVA, que no generan crédito tributario, no se incorpore el IVA pagado por el proveedor en sus propias adquisiciones y, en consecuencia, no se exporten impuestos.</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 xml:space="preserve">Por otra parte, el primer inciso del artículo 9.1. </w:t>
      </w:r>
      <w:proofErr w:type="gramStart"/>
      <w:r w:rsidRPr="008906D3">
        <w:rPr>
          <w:rFonts w:ascii="Tahoma" w:eastAsia="Times New Roman" w:hAnsi="Tahoma" w:cs="Tahoma"/>
          <w:color w:val="000000"/>
          <w:sz w:val="14"/>
          <w:szCs w:val="14"/>
          <w:shd w:val="clear" w:color="auto" w:fill="FFFFFF"/>
          <w:lang w:eastAsia="es-ES"/>
        </w:rPr>
        <w:t>de</w:t>
      </w:r>
      <w:proofErr w:type="gramEnd"/>
      <w:r w:rsidRPr="008906D3">
        <w:rPr>
          <w:rFonts w:ascii="Tahoma" w:eastAsia="Times New Roman" w:hAnsi="Tahoma" w:cs="Tahoma"/>
          <w:color w:val="000000"/>
          <w:sz w:val="14"/>
          <w:szCs w:val="14"/>
          <w:shd w:val="clear" w:color="auto" w:fill="FFFFFF"/>
          <w:lang w:eastAsia="es-ES"/>
        </w:rPr>
        <w:t xml:space="preserve"> la Ley de Régimen Tributario Interno señala que las sociedades que se constituyan a partir de la vigencia del Código de la Producción así como también las sociedades nuevas que se constituyeren por sociedades existentes, con el objeto de realizar inversiones nuevas y productivas, gozarán de una exoneración del pago del impuesto a la renta durante cinco años, contados desde el primer año en el que se generen ingresos atribuibles directa y únicamente a la nueva inversión.</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Sin embargo, por la aplicación de normas que establecen incentivos tributarios para la realización de nuevas inversiones, como es el caso del Código Orgánico de la Producción Comercio e Inversiones, algunas sociedades se han constituido a partir de otras existentes, conformando un encadenamiento de producción de bienes que se incorporan a otros destinados a la exportación, lo que se enmarca en la legalidad además de guardar armonía con los objetivos de la política pública, motivo por el cual se requiere aclarar la complementariedad entre los incentivos tributarios de reciente incorporación con los beneficios tributarios existentes con anterioridad para los proveedores directos de exportadores.</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De acuerdo a lo establecido en el artículo 7 del Código Tributario, en concordancia con el artículo 8 de la Ley de Creación del Servicio de Rentas Internas, es facultad del Director General del Servicio de Rentas Internas expedir las circulares necesarias para la correcta aplicación de las normas legales y reglamentarias.</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Con fundamentos en las disposiciones constitucionales, legales y reglamentarias antes señaladas, se instruye a los sujetos pasivos lo siguiente:</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 xml:space="preserve">Para efectos del derecho a la devolución del impuesto al valor agregado, el proveedor directo del exportador de bienes puede comprender también a la sociedad nueva residente en el Ecuador, constituida a partir de la vigencia del Código Orgánico de la Producción, Comercio e Inversiones por sociedades existentes, con el objeto de realizar inversiones nuevas y productivas, siempre que la sociedad que la constituya sea accionista, socia o partícipe del 90% ó más de los derechos representativos de capital con derecho a voto, o que las personas naturales accionistas, socias o partícipes de ambas sociedades sean las mismas; y, que dicha sociedad nueva sea parte de un único encadenamiento productivo metodológico y racional, que vaya incorporando valor agregado al producto en cada </w:t>
      </w:r>
      <w:r w:rsidRPr="008906D3">
        <w:rPr>
          <w:rFonts w:ascii="Tahoma" w:eastAsia="Times New Roman" w:hAnsi="Tahoma" w:cs="Tahoma"/>
          <w:color w:val="000000"/>
          <w:sz w:val="14"/>
          <w:szCs w:val="14"/>
          <w:shd w:val="clear" w:color="auto" w:fill="FFFFFF"/>
          <w:lang w:eastAsia="es-ES"/>
        </w:rPr>
        <w:lastRenderedPageBreak/>
        <w:t>etapa del proceso mediante la transferencia de bienes o la prestación de servicios; y que la transferencia de bienes o la prestación de servicios que se adquieran fuera del encadenamiento productivo estén sujetas a la tarifa 12% de IVA, así también que las transferencias de bienes o prestación de servicios entre los integrantes de dicho encadenamiento estén sujetas a la tarifa 0%&gt; de IVA; y que la transferencia final al exportador esté sujeta a la tarifa 0% de IVA.</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De conformidad con la Ley de Régimen Tributario Interno y su reglamento, el valor a devolver por concepto de IVA pagado en la adquisición de bienes o servicios, en ningún caso podrá superar el 12%), del valor del bien transferido al exportador, conforme las disposiciones legales y reglamentarias vigentes. El saldo al que tengan derecho el proveedor directo del exportador que no haya sido devuelto, puede ser recuperado en base a las transferencias futuras destinadas a la generación del bien transferido al exportador por cada uno de los integrantes del encadenamiento productivo.</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Comuníquese y publíquese.</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Dado en Quito D.M., a 28 de enero de 2016.</w:t>
      </w:r>
    </w:p>
    <w:p w:rsidR="002F0A16" w:rsidRDefault="002F0A16" w:rsidP="002F0A1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p>
    <w:p w:rsidR="008E49C1" w:rsidRDefault="002F0A16"/>
    <w:sectPr w:rsidR="008E49C1">
      <w:headerReference w:type="default" r:id="rId7"/>
      <w:footerReference w:type="default" r:id="rId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5B4" w:rsidRDefault="002F0A16">
    <w:pPr>
      <w:pStyle w:val="Piedepgina"/>
    </w:pPr>
    <w:r>
      <w:rPr>
        <w:noProof/>
        <w:lang w:val="es-EC" w:eastAsia="es-EC"/>
      </w:rPr>
      <mc:AlternateContent>
        <mc:Choice Requires="wps">
          <w:drawing>
            <wp:anchor distT="0" distB="0" distL="114300" distR="114300" simplePos="0" relativeHeight="251660288" behindDoc="0" locked="0" layoutInCell="0" allowOverlap="1" wp14:anchorId="509BFB49" wp14:editId="0B04055A">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1274095822"/>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915B4" w:rsidRPr="00A75150" w:rsidRDefault="002F0A16">
                              <w:pPr>
                                <w:rPr>
                                  <w:color w:val="0070C0"/>
                                  <w:spacing w:val="60"/>
                                </w:rPr>
                              </w:pPr>
                              <w:r>
                                <w:rPr>
                                  <w:color w:val="0070C0"/>
                                  <w:spacing w:val="60"/>
                                </w:rPr>
                                <w:t xml:space="preserve">     </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6" style="position:absolute;margin-left:0;margin-top:0;width:40.25pt;height:486pt;z-index:251660288;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3i4AIAADw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" o:allowincell="f" filled="f" stroked="f">
              <v:textbox style="layout-flow:vertical;mso-layout-flow-alt:bottom-to-top;mso-fit-shape-to-text:t">
                <w:txbxContent>
                  <w:sdt>
                    <w:sdtPr>
                      <w:rPr>
                        <w:color w:val="0070C0"/>
                        <w:spacing w:val="60"/>
                      </w:rPr>
                      <w:alias w:val="Date"/>
                      <w:id w:val="-1274095822"/>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915B4" w:rsidRPr="00A75150" w:rsidRDefault="002F0A16">
                        <w:pPr>
                          <w:rPr>
                            <w:color w:val="0070C0"/>
                            <w:spacing w:val="60"/>
                          </w:rPr>
                        </w:pPr>
                        <w:r>
                          <w:rPr>
                            <w:color w:val="0070C0"/>
                            <w:spacing w:val="60"/>
                          </w:rPr>
                          <w:t xml:space="preserve">     </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59264" behindDoc="0" locked="0" layoutInCell="0" allowOverlap="1" wp14:anchorId="344DFB67" wp14:editId="2EB2709E">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59264;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7915B4" w:rsidRDefault="002F0A16">
    <w:pPr>
      <w:pStyle w:val="Piedepgin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295151"/>
      <w:docPartObj>
        <w:docPartGallery w:val="Page Numbers (Top of Page)"/>
        <w:docPartUnique/>
      </w:docPartObj>
    </w:sdtPr>
    <w:sdtEndPr>
      <w:rPr>
        <w:noProof/>
      </w:rPr>
    </w:sdtEndPr>
    <w:sdtContent>
      <w:p w:rsidR="007915B4" w:rsidRDefault="002F0A16">
        <w:pPr>
          <w:pStyle w:val="Encabezado"/>
        </w:pPr>
        <w:r w:rsidRPr="00047711">
          <w:rPr>
            <w:noProof/>
            <w:color w:val="0070C0"/>
            <w:sz w:val="28"/>
            <w:lang w:val="es-EC" w:eastAsia="es-EC"/>
          </w:rPr>
          <mc:AlternateContent>
            <mc:Choice Requires="wpg">
              <w:drawing>
                <wp:anchor distT="0" distB="0" distL="114300" distR="114300" simplePos="0" relativeHeight="251661312" behindDoc="0" locked="0" layoutInCell="0" allowOverlap="1" wp14:anchorId="3A350C1D" wp14:editId="201E9738">
                  <wp:simplePos x="0" y="0"/>
                  <wp:positionH relativeFrom="rightMargin">
                    <wp:posOffset>-5961060</wp:posOffset>
                  </wp:positionH>
                  <wp:positionV relativeFrom="bottomMargin">
                    <wp:posOffset>-9378909</wp:posOffset>
                  </wp:positionV>
                  <wp:extent cx="457200" cy="301625"/>
                  <wp:effectExtent l="1587" t="0" r="1588" b="1587"/>
                  <wp:wrapNone/>
                  <wp:docPr id="22"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3"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4"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5pt;margin-top:-738.5pt;width:36pt;height:23.75pt;rotation:90;flip:x;z-index:251661312;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AsQA&#10;AADbAAAADwAAAGRycy9kb3ducmV2LnhtbESPQWvCQBSE70L/w/IKvYhujCAlukoptXgR0RTx+Mg+&#10;k9Ds27C70eivdwsFj8PMfMMsVr1pxIWcry0rmIwTEMSF1TWXCn7y9egdhA/IGhvLpOBGHlbLl8EC&#10;M22vvKfLIZQiQthnqKAKoc2k9EVFBv3YtsTRO1tnMETpSqkdXiPcNDJNkpk0WHNcqLClz4qK30Nn&#10;FHQ3f+q67ff9a7fzw3zqjumxN0q9vfYfcxCB+vAM/7c3WkE6hb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MgLEAAAA2wAAAA8AAAAAAAAAAAAAAAAAmAIAAGRycy9k&#10;b3ducmV2LnhtbFBLBQYAAAAABAAEAPUAAACJ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2PMMA&#10;AADbAAAADwAAAGRycy9kb3ducmV2LnhtbESPUWvCMBSF3wf7D+EO9jbTioh0RpGBUtyLdvsBl+au&#10;KTY3WRNt+++XgeDj4ZzzHc56O9pO3KgPrWMF+SwDQVw73XKj4Ptr/7YCESKyxs4xKZgowHbz/LTG&#10;QruBz3SrYiMShEOBCkyMvpAy1IYshpnzxMn7cb3FmGTfSN3jkOC2k/MsW0qLLacFg54+DNWX6moV&#10;+OM+P3wOVX2dTr4Zf02ZH6ZSqdeXcfcOItIYH+F7u9QK5gv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I2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Z8j8UA&#10;AADbAAAADwAAAGRycy9kb3ducmV2LnhtbESPQWvCQBSE74L/YXlCL0U3xlZs6ipSEAqK2OjB3h7Z&#10;1yRt9m3YXTX9926h4HGYmW+Y+bIzjbiQ87VlBeNRAoK4sLrmUsHxsB7OQPiArLGxTAp+ycNy0e/N&#10;MdP2yh90yUMpIoR9hgqqENpMSl9UZNCPbEscvS/rDIYoXSm1w2uEm0amSTKVBmuOCxW29FZR8ZOf&#10;jYKn3fZTbyaP3ynLSb5x6R5fTqVSD4Nu9QoiUBfu4f/2u1aQPsPf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nyP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Pr>
            <w:noProof/>
            <w:color w:val="0070C0"/>
            <w:sz w:val="28"/>
          </w:rPr>
          <w:t>1</w:t>
        </w:r>
        <w:r w:rsidRPr="00047711">
          <w:rPr>
            <w:noProof/>
            <w:color w:val="0070C0"/>
            <w:sz w:val="28"/>
          </w:rPr>
          <w:fldChar w:fldCharType="end"/>
        </w:r>
        <w:r w:rsidRPr="00047711">
          <w:rPr>
            <w:noProof/>
            <w:color w:val="0070C0"/>
            <w:sz w:val="28"/>
          </w:rPr>
          <w:t xml:space="preserve">   </w:t>
        </w:r>
      </w:p>
    </w:sdtContent>
  </w:sdt>
  <w:p w:rsidR="007915B4" w:rsidRDefault="002F0A16" w:rsidP="0004771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9pt;height:9pt" o:bullet="t">
        <v:imagedata r:id="rId1" o:title="BD15059_"/>
      </v:shape>
    </w:pict>
  </w:numPicBullet>
  <w:abstractNum w:abstractNumId="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3A853D28"/>
    <w:multiLevelType w:val="hybridMultilevel"/>
    <w:tmpl w:val="C3B6BA7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A16"/>
    <w:rsid w:val="002F0A16"/>
    <w:rsid w:val="00323ADC"/>
    <w:rsid w:val="0064604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A16"/>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F0A16"/>
    <w:pPr>
      <w:ind w:left="720"/>
      <w:contextualSpacing/>
    </w:pPr>
  </w:style>
  <w:style w:type="paragraph" w:styleId="Encabezado">
    <w:name w:val="header"/>
    <w:basedOn w:val="Normal"/>
    <w:link w:val="EncabezadoCar"/>
    <w:uiPriority w:val="99"/>
    <w:unhideWhenUsed/>
    <w:rsid w:val="002F0A1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F0A16"/>
    <w:rPr>
      <w:lang w:val="es-ES"/>
    </w:rPr>
  </w:style>
  <w:style w:type="paragraph" w:styleId="Piedepgina">
    <w:name w:val="footer"/>
    <w:basedOn w:val="Normal"/>
    <w:link w:val="PiedepginaCar"/>
    <w:uiPriority w:val="99"/>
    <w:unhideWhenUsed/>
    <w:rsid w:val="002F0A1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F0A16"/>
    <w:rPr>
      <w:lang w:val="es-ES"/>
    </w:rPr>
  </w:style>
  <w:style w:type="paragraph" w:styleId="Textodeglobo">
    <w:name w:val="Balloon Text"/>
    <w:basedOn w:val="Normal"/>
    <w:link w:val="TextodegloboCar"/>
    <w:uiPriority w:val="99"/>
    <w:semiHidden/>
    <w:unhideWhenUsed/>
    <w:rsid w:val="002F0A1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F0A16"/>
    <w:rPr>
      <w:rFonts w:ascii="Tahoma" w:hAnsi="Tahoma" w:cs="Tahoma"/>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A16"/>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F0A16"/>
    <w:pPr>
      <w:ind w:left="720"/>
      <w:contextualSpacing/>
    </w:pPr>
  </w:style>
  <w:style w:type="paragraph" w:styleId="Encabezado">
    <w:name w:val="header"/>
    <w:basedOn w:val="Normal"/>
    <w:link w:val="EncabezadoCar"/>
    <w:uiPriority w:val="99"/>
    <w:unhideWhenUsed/>
    <w:rsid w:val="002F0A1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F0A16"/>
    <w:rPr>
      <w:lang w:val="es-ES"/>
    </w:rPr>
  </w:style>
  <w:style w:type="paragraph" w:styleId="Piedepgina">
    <w:name w:val="footer"/>
    <w:basedOn w:val="Normal"/>
    <w:link w:val="PiedepginaCar"/>
    <w:uiPriority w:val="99"/>
    <w:unhideWhenUsed/>
    <w:rsid w:val="002F0A1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F0A16"/>
    <w:rPr>
      <w:lang w:val="es-ES"/>
    </w:rPr>
  </w:style>
  <w:style w:type="paragraph" w:styleId="Textodeglobo">
    <w:name w:val="Balloon Text"/>
    <w:basedOn w:val="Normal"/>
    <w:link w:val="TextodegloboCar"/>
    <w:uiPriority w:val="99"/>
    <w:semiHidden/>
    <w:unhideWhenUsed/>
    <w:rsid w:val="002F0A1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F0A16"/>
    <w:rPr>
      <w:rFonts w:ascii="Tahoma" w:hAnsi="Tahoma" w:cs="Tahoma"/>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871187')"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1350</Words>
  <Characters>7431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2016-03-21T16:19:00Z</dcterms:created>
  <dcterms:modified xsi:type="dcterms:W3CDTF">2016-03-21T16:20:00Z</dcterms:modified>
</cp:coreProperties>
</file>